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82A" w:rsidRPr="00431B39" w:rsidRDefault="0061082A" w:rsidP="0061082A">
      <w:pPr>
        <w:spacing w:line="276" w:lineRule="auto"/>
        <w:ind w:firstLine="709"/>
        <w:jc w:val="center"/>
        <w:rPr>
          <w:b/>
          <w:sz w:val="27"/>
          <w:szCs w:val="27"/>
        </w:rPr>
      </w:pPr>
      <w:r w:rsidRPr="00431B39">
        <w:rPr>
          <w:b/>
          <w:sz w:val="27"/>
          <w:szCs w:val="27"/>
        </w:rPr>
        <w:t>Дополнительные разъяснения по заполнению</w:t>
      </w:r>
      <w:r w:rsidR="004F4CB4">
        <w:rPr>
          <w:b/>
          <w:sz w:val="27"/>
          <w:szCs w:val="27"/>
        </w:rPr>
        <w:t xml:space="preserve"> разделов 19 и 20</w:t>
      </w:r>
    </w:p>
    <w:p w:rsidR="00372F1C" w:rsidRPr="00431B39" w:rsidRDefault="0061082A" w:rsidP="0061082A">
      <w:pPr>
        <w:spacing w:line="276" w:lineRule="auto"/>
        <w:ind w:firstLine="709"/>
        <w:jc w:val="center"/>
        <w:rPr>
          <w:b/>
          <w:sz w:val="27"/>
          <w:szCs w:val="27"/>
        </w:rPr>
      </w:pPr>
      <w:proofErr w:type="gramStart"/>
      <w:r w:rsidRPr="00431B39">
        <w:rPr>
          <w:b/>
          <w:sz w:val="27"/>
          <w:szCs w:val="27"/>
        </w:rPr>
        <w:t>формы</w:t>
      </w:r>
      <w:proofErr w:type="gramEnd"/>
      <w:r w:rsidRPr="00431B39">
        <w:rPr>
          <w:b/>
          <w:sz w:val="27"/>
          <w:szCs w:val="27"/>
        </w:rPr>
        <w:t xml:space="preserve"> федерального статистического наблюдения</w:t>
      </w:r>
      <w:r w:rsidRPr="00431B39">
        <w:rPr>
          <w:b/>
          <w:sz w:val="27"/>
          <w:szCs w:val="27"/>
        </w:rPr>
        <w:br w:type="textWrapping" w:clear="all"/>
        <w:t xml:space="preserve">№ 85-К «Сведения о деятельности организации, осуществляющей </w:t>
      </w:r>
    </w:p>
    <w:p w:rsidR="00372F1C" w:rsidRPr="00431B39" w:rsidRDefault="0061082A" w:rsidP="0061082A">
      <w:pPr>
        <w:spacing w:line="276" w:lineRule="auto"/>
        <w:ind w:firstLine="709"/>
        <w:jc w:val="center"/>
        <w:rPr>
          <w:b/>
          <w:sz w:val="27"/>
          <w:szCs w:val="27"/>
        </w:rPr>
      </w:pPr>
      <w:r w:rsidRPr="00431B39">
        <w:rPr>
          <w:b/>
          <w:sz w:val="27"/>
          <w:szCs w:val="27"/>
        </w:rPr>
        <w:t xml:space="preserve">образовательную деятельность по образовательным программам </w:t>
      </w:r>
    </w:p>
    <w:p w:rsidR="00372F1C" w:rsidRPr="00431B39" w:rsidRDefault="0061082A" w:rsidP="00372F1C">
      <w:pPr>
        <w:spacing w:line="276" w:lineRule="auto"/>
        <w:ind w:firstLine="709"/>
        <w:jc w:val="center"/>
        <w:rPr>
          <w:sz w:val="27"/>
          <w:szCs w:val="27"/>
        </w:rPr>
      </w:pPr>
      <w:r w:rsidRPr="00431B39">
        <w:rPr>
          <w:b/>
          <w:sz w:val="27"/>
          <w:szCs w:val="27"/>
        </w:rPr>
        <w:t>дошкольного образования, присмотр и уход за детьми»</w:t>
      </w:r>
      <w:r w:rsidR="00372F1C" w:rsidRPr="00431B39">
        <w:rPr>
          <w:sz w:val="27"/>
          <w:szCs w:val="27"/>
        </w:rPr>
        <w:t xml:space="preserve"> </w:t>
      </w:r>
    </w:p>
    <w:p w:rsidR="00431B39" w:rsidRDefault="00431B39" w:rsidP="00372F1C">
      <w:pPr>
        <w:spacing w:line="276" w:lineRule="auto"/>
        <w:ind w:firstLine="709"/>
        <w:jc w:val="center"/>
        <w:rPr>
          <w:b/>
          <w:sz w:val="27"/>
          <w:szCs w:val="27"/>
        </w:rPr>
      </w:pPr>
    </w:p>
    <w:p w:rsidR="00372F1C" w:rsidRPr="00431B39" w:rsidRDefault="00372F1C" w:rsidP="00372F1C">
      <w:pPr>
        <w:spacing w:line="276" w:lineRule="auto"/>
        <w:ind w:firstLine="709"/>
        <w:jc w:val="center"/>
        <w:rPr>
          <w:b/>
          <w:sz w:val="27"/>
          <w:szCs w:val="27"/>
        </w:rPr>
      </w:pPr>
      <w:r w:rsidRPr="00431B39">
        <w:rPr>
          <w:b/>
          <w:sz w:val="27"/>
          <w:szCs w:val="27"/>
        </w:rPr>
        <w:t>По разделу 19 «Распределение объема средств организации</w:t>
      </w:r>
    </w:p>
    <w:p w:rsidR="0061082A" w:rsidRPr="00431B39" w:rsidRDefault="00372F1C" w:rsidP="00372F1C">
      <w:pPr>
        <w:spacing w:line="276" w:lineRule="auto"/>
        <w:ind w:firstLine="709"/>
        <w:jc w:val="center"/>
        <w:rPr>
          <w:b/>
          <w:sz w:val="27"/>
          <w:szCs w:val="27"/>
        </w:rPr>
      </w:pPr>
      <w:r w:rsidRPr="00431B39">
        <w:rPr>
          <w:b/>
          <w:sz w:val="27"/>
          <w:szCs w:val="27"/>
        </w:rPr>
        <w:t>по источникам их получения и видам деятельности»</w:t>
      </w:r>
    </w:p>
    <w:p w:rsidR="00372F1C" w:rsidRPr="00431B39" w:rsidRDefault="00372F1C" w:rsidP="0061082A">
      <w:pPr>
        <w:spacing w:line="276" w:lineRule="auto"/>
        <w:ind w:firstLine="709"/>
        <w:rPr>
          <w:b/>
          <w:sz w:val="27"/>
          <w:szCs w:val="27"/>
        </w:rPr>
      </w:pPr>
    </w:p>
    <w:p w:rsidR="0061082A" w:rsidRPr="00431B39" w:rsidRDefault="0061082A" w:rsidP="00DD5136">
      <w:pPr>
        <w:spacing w:line="276" w:lineRule="auto"/>
        <w:ind w:right="6" w:firstLine="709"/>
        <w:jc w:val="both"/>
        <w:rPr>
          <w:sz w:val="27"/>
          <w:szCs w:val="27"/>
        </w:rPr>
      </w:pPr>
      <w:r w:rsidRPr="00431B39">
        <w:rPr>
          <w:sz w:val="27"/>
          <w:szCs w:val="27"/>
        </w:rPr>
        <w:t>Основная деятельность дошкольных образовательных организаций − реализация образовательных программ дошкольного образования (образовательная деятельность).</w:t>
      </w:r>
    </w:p>
    <w:p w:rsidR="0061082A" w:rsidRPr="00431B39" w:rsidRDefault="0061082A" w:rsidP="00DD5136">
      <w:pPr>
        <w:spacing w:line="276" w:lineRule="auto"/>
        <w:ind w:right="6" w:firstLine="709"/>
        <w:jc w:val="both"/>
        <w:rPr>
          <w:sz w:val="27"/>
          <w:szCs w:val="27"/>
        </w:rPr>
      </w:pPr>
      <w:r w:rsidRPr="00431B39">
        <w:rPr>
          <w:sz w:val="27"/>
          <w:szCs w:val="27"/>
        </w:rPr>
        <w:t>Финансирование образовательной деятельности дошкольных образовательных организаций осуществляется исходя из нормативов обеспечения государственных гарантий реализации прав на получение общедоступного</w:t>
      </w:r>
      <w:r w:rsidR="00DB6309" w:rsidRPr="00431B39">
        <w:rPr>
          <w:sz w:val="27"/>
          <w:szCs w:val="27"/>
        </w:rPr>
        <w:t xml:space="preserve"> </w:t>
      </w:r>
      <w:r w:rsidRPr="00431B39">
        <w:rPr>
          <w:sz w:val="27"/>
          <w:szCs w:val="27"/>
        </w:rPr>
        <w:t>и бесплатного дошкольного образования, определяемых в соответствии</w:t>
      </w:r>
      <w:r w:rsidR="00DB6309" w:rsidRPr="00431B39">
        <w:rPr>
          <w:sz w:val="27"/>
          <w:szCs w:val="27"/>
        </w:rPr>
        <w:t xml:space="preserve"> </w:t>
      </w:r>
      <w:r w:rsidRPr="00431B39">
        <w:rPr>
          <w:sz w:val="27"/>
          <w:szCs w:val="27"/>
        </w:rPr>
        <w:t>с Федеральным государственным стандартом дошкольного образования</w:t>
      </w:r>
      <w:r w:rsidR="00DB6309" w:rsidRPr="00431B39">
        <w:rPr>
          <w:sz w:val="27"/>
          <w:szCs w:val="27"/>
        </w:rPr>
        <w:t xml:space="preserve"> </w:t>
      </w:r>
      <w:r w:rsidRPr="00431B39">
        <w:rPr>
          <w:sz w:val="27"/>
          <w:szCs w:val="27"/>
        </w:rPr>
        <w:t>(ФГОС ДО, пункт 3.6.3) приобретение средств обучения и воспитания, учебного оборудования, игр и игрушек, электронных образовательных ресурсов</w:t>
      </w:r>
      <w:r w:rsidR="00DB6309" w:rsidRPr="00431B39">
        <w:rPr>
          <w:sz w:val="27"/>
          <w:szCs w:val="27"/>
        </w:rPr>
        <w:t xml:space="preserve"> </w:t>
      </w:r>
      <w:r w:rsidRPr="00431B39">
        <w:rPr>
          <w:sz w:val="27"/>
          <w:szCs w:val="27"/>
        </w:rPr>
        <w:t xml:space="preserve">и иных ресурсов, связанных с реализацией и обеспечением реализации образовательной программы дошкольного образования. </w:t>
      </w:r>
    </w:p>
    <w:p w:rsidR="0061082A" w:rsidRPr="00431B39" w:rsidRDefault="0061082A" w:rsidP="00DD5136">
      <w:pPr>
        <w:spacing w:line="276" w:lineRule="auto"/>
        <w:ind w:right="6" w:firstLine="709"/>
        <w:jc w:val="both"/>
        <w:rPr>
          <w:sz w:val="27"/>
          <w:szCs w:val="27"/>
        </w:rPr>
      </w:pPr>
      <w:r w:rsidRPr="00431B39">
        <w:rPr>
          <w:sz w:val="27"/>
          <w:szCs w:val="27"/>
        </w:rPr>
        <w:t>Дошкольные образовательные организации могут получать средства</w:t>
      </w:r>
      <w:r w:rsidR="00DB6309" w:rsidRPr="00431B39">
        <w:rPr>
          <w:sz w:val="27"/>
          <w:szCs w:val="27"/>
        </w:rPr>
        <w:t xml:space="preserve"> </w:t>
      </w:r>
      <w:r w:rsidRPr="00431B39">
        <w:rPr>
          <w:sz w:val="27"/>
          <w:szCs w:val="27"/>
        </w:rPr>
        <w:t xml:space="preserve">из бюджетов всех уровней на реализацию дополнительных общеобразовательных программ, если организация имеет лицензию на осуществление образовательной деятельности по таким программам. </w:t>
      </w:r>
    </w:p>
    <w:p w:rsidR="0061082A" w:rsidRPr="00431B39" w:rsidRDefault="0061082A" w:rsidP="00DD5136">
      <w:pPr>
        <w:spacing w:line="276" w:lineRule="auto"/>
        <w:ind w:right="6" w:firstLine="709"/>
        <w:jc w:val="both"/>
        <w:rPr>
          <w:sz w:val="27"/>
          <w:szCs w:val="27"/>
        </w:rPr>
      </w:pPr>
      <w:r w:rsidRPr="00431B39">
        <w:rPr>
          <w:sz w:val="27"/>
          <w:szCs w:val="27"/>
        </w:rPr>
        <w:t>Помимо образовательной деятельности, присмотра и ухода за детьми дошкольные образовательные организации могут получать средства и от иной деятельности: от оказания консультационных услуг родителям, детям, педагогическим работникам; проведению коррекционно-развивающей, компенсирующей и логопедической помощи детям; организации занятий</w:t>
      </w:r>
      <w:r w:rsidR="00DB6309" w:rsidRPr="00431B39">
        <w:rPr>
          <w:sz w:val="27"/>
          <w:szCs w:val="27"/>
        </w:rPr>
        <w:t xml:space="preserve"> </w:t>
      </w:r>
      <w:r w:rsidRPr="00431B39">
        <w:rPr>
          <w:sz w:val="27"/>
          <w:szCs w:val="27"/>
        </w:rPr>
        <w:t xml:space="preserve">в кружках, секциях (кружковая деятельность, не требующая лицензирования), предоставлению помещений в аренду и т.д. </w:t>
      </w:r>
    </w:p>
    <w:p w:rsidR="0061082A" w:rsidRPr="00431B39" w:rsidRDefault="0061082A" w:rsidP="00DD5136">
      <w:pPr>
        <w:spacing w:line="276" w:lineRule="auto"/>
        <w:ind w:right="6" w:firstLine="709"/>
        <w:jc w:val="both"/>
        <w:rPr>
          <w:sz w:val="27"/>
          <w:szCs w:val="27"/>
        </w:rPr>
      </w:pPr>
      <w:r w:rsidRPr="00431B39">
        <w:rPr>
          <w:sz w:val="27"/>
          <w:szCs w:val="27"/>
        </w:rPr>
        <w:t xml:space="preserve">При заполнении раздела 19 в графе 3 отражается общий объем средств, поступивших в дошкольную образовательную организацию от всех видов деятельности – образовательной деятельности, присмотра и ухода за детьми; иной деятельности. </w:t>
      </w:r>
    </w:p>
    <w:p w:rsidR="0061082A" w:rsidRPr="00431B39" w:rsidRDefault="0061082A" w:rsidP="004F4CB4">
      <w:pPr>
        <w:widowControl w:val="0"/>
        <w:spacing w:line="276" w:lineRule="auto"/>
        <w:ind w:right="6" w:firstLine="709"/>
        <w:jc w:val="both"/>
        <w:rPr>
          <w:sz w:val="27"/>
          <w:szCs w:val="27"/>
        </w:rPr>
      </w:pPr>
      <w:r w:rsidRPr="00431B39">
        <w:rPr>
          <w:sz w:val="27"/>
          <w:szCs w:val="27"/>
        </w:rPr>
        <w:t>Из графы 3 по графе 4 выделяются средства на осуществление образовательной деятельности: реализацию образовательных программ дошкольного образования, дополнительных общеобразовательных программ. Здесь же учитываются различные субсидии (компенсации) дошкольным образовательным организациям из федерального бюджета, бюджетов субъектов Российской Федерации, местных бюджетов на оказание образовательных услуг. Кружковая деятельность, не требующая лицензирования и родительская плата</w:t>
      </w:r>
      <w:r w:rsidR="00DB6309" w:rsidRPr="00431B39">
        <w:rPr>
          <w:sz w:val="27"/>
          <w:szCs w:val="27"/>
        </w:rPr>
        <w:t xml:space="preserve"> </w:t>
      </w:r>
      <w:r w:rsidRPr="00431B39">
        <w:rPr>
          <w:sz w:val="27"/>
          <w:szCs w:val="27"/>
        </w:rPr>
        <w:t xml:space="preserve">за присмотр и уход, в графе 4 не выделяются.  </w:t>
      </w:r>
    </w:p>
    <w:p w:rsidR="0061082A" w:rsidRPr="00431B39" w:rsidRDefault="0061082A" w:rsidP="00DD5136">
      <w:pPr>
        <w:spacing w:line="276" w:lineRule="auto"/>
        <w:ind w:right="6" w:firstLine="709"/>
        <w:jc w:val="both"/>
        <w:rPr>
          <w:sz w:val="27"/>
          <w:szCs w:val="27"/>
        </w:rPr>
      </w:pPr>
      <w:r w:rsidRPr="00431B39">
        <w:rPr>
          <w:sz w:val="27"/>
          <w:szCs w:val="27"/>
        </w:rPr>
        <w:lastRenderedPageBreak/>
        <w:t>Основным источником финансирования государственных и муниципальных дошкольных образовательных организаций являются бюджетные ассигнования</w:t>
      </w:r>
      <w:r w:rsidR="00DB6309" w:rsidRPr="00431B39">
        <w:rPr>
          <w:sz w:val="27"/>
          <w:szCs w:val="27"/>
        </w:rPr>
        <w:t xml:space="preserve"> </w:t>
      </w:r>
      <w:r w:rsidRPr="00431B39">
        <w:rPr>
          <w:sz w:val="27"/>
          <w:szCs w:val="27"/>
        </w:rPr>
        <w:t>за счет средств федерального бюджета, бюджетов субъектов Российской Федерации, местных бюджетов. Частные дошкольные образовательные могут также финансироваться за счет бюджетных ассигнований, в частности, в форме субсидии на возмещение затрат за присмотр и уход за детьми.</w:t>
      </w:r>
    </w:p>
    <w:p w:rsidR="00B84628" w:rsidRPr="00431B39" w:rsidRDefault="00B84628" w:rsidP="00DD5136">
      <w:pPr>
        <w:spacing w:line="276" w:lineRule="auto"/>
        <w:ind w:right="6" w:firstLine="709"/>
        <w:jc w:val="both"/>
        <w:rPr>
          <w:sz w:val="27"/>
          <w:szCs w:val="27"/>
        </w:rPr>
      </w:pPr>
    </w:p>
    <w:p w:rsidR="0061082A" w:rsidRPr="00431B39" w:rsidRDefault="0061082A" w:rsidP="00B84628">
      <w:pPr>
        <w:spacing w:line="276" w:lineRule="auto"/>
        <w:ind w:right="6" w:firstLine="709"/>
        <w:jc w:val="center"/>
        <w:rPr>
          <w:b/>
          <w:sz w:val="27"/>
          <w:szCs w:val="27"/>
        </w:rPr>
      </w:pPr>
      <w:r w:rsidRPr="00431B39">
        <w:rPr>
          <w:b/>
          <w:sz w:val="27"/>
          <w:szCs w:val="27"/>
        </w:rPr>
        <w:t>По разделу 20 «Расходы организации»</w:t>
      </w:r>
    </w:p>
    <w:p w:rsidR="00B84628" w:rsidRPr="00431B39" w:rsidRDefault="00B84628" w:rsidP="00B84628">
      <w:pPr>
        <w:spacing w:line="276" w:lineRule="auto"/>
        <w:ind w:right="6" w:firstLine="709"/>
        <w:jc w:val="center"/>
        <w:rPr>
          <w:sz w:val="27"/>
          <w:szCs w:val="27"/>
        </w:rPr>
      </w:pPr>
    </w:p>
    <w:p w:rsidR="0061082A" w:rsidRPr="00431B39" w:rsidRDefault="0061082A" w:rsidP="00DD5136">
      <w:pPr>
        <w:spacing w:line="276" w:lineRule="auto"/>
        <w:ind w:right="6" w:firstLine="709"/>
        <w:jc w:val="both"/>
        <w:rPr>
          <w:sz w:val="27"/>
          <w:szCs w:val="27"/>
        </w:rPr>
      </w:pPr>
      <w:r w:rsidRPr="00431B39">
        <w:rPr>
          <w:sz w:val="27"/>
          <w:szCs w:val="27"/>
        </w:rPr>
        <w:t>При заполнении раздела 20 граф 3, 4 по строке 2002 «Расходы на оплату труда и начисления на выплаты по оплате труда» учитываются: расходы</w:t>
      </w:r>
      <w:r w:rsidR="00DB6309" w:rsidRPr="00431B39">
        <w:rPr>
          <w:sz w:val="27"/>
          <w:szCs w:val="27"/>
        </w:rPr>
        <w:t xml:space="preserve"> </w:t>
      </w:r>
      <w:r w:rsidRPr="00431B39">
        <w:rPr>
          <w:sz w:val="27"/>
          <w:szCs w:val="27"/>
        </w:rPr>
        <w:t>на выплату заработной платы, осуществляемые на основе договоров (контрактов), в том числе выплаты:</w:t>
      </w:r>
    </w:p>
    <w:p w:rsidR="0061082A" w:rsidRPr="00431B39" w:rsidRDefault="0061082A" w:rsidP="00DD5136">
      <w:pPr>
        <w:spacing w:line="276" w:lineRule="auto"/>
        <w:ind w:right="6" w:firstLine="709"/>
        <w:jc w:val="both"/>
        <w:rPr>
          <w:sz w:val="27"/>
          <w:szCs w:val="27"/>
        </w:rPr>
      </w:pPr>
      <w:proofErr w:type="gramStart"/>
      <w:r w:rsidRPr="00431B39">
        <w:rPr>
          <w:sz w:val="27"/>
          <w:szCs w:val="27"/>
        </w:rPr>
        <w:t>по</w:t>
      </w:r>
      <w:proofErr w:type="gramEnd"/>
      <w:r w:rsidRPr="00431B39">
        <w:rPr>
          <w:sz w:val="27"/>
          <w:szCs w:val="27"/>
        </w:rPr>
        <w:t xml:space="preserve"> должностным окладам, по ставкам заработной платы,</w:t>
      </w:r>
      <w:r w:rsidR="00DB6309" w:rsidRPr="00431B39">
        <w:rPr>
          <w:sz w:val="27"/>
          <w:szCs w:val="27"/>
        </w:rPr>
        <w:t xml:space="preserve"> </w:t>
      </w:r>
      <w:r w:rsidRPr="00431B39">
        <w:rPr>
          <w:sz w:val="27"/>
          <w:szCs w:val="27"/>
        </w:rPr>
        <w:t>по почасовой оплате, за работу в праздничные и выходные дни, за сверхурочную работу, при совмещении профессий (должностей), увеличении объема работы или исполнении обязанностей временно отсутствующего работника без освобождения от работы; надбавки за выслугу лет, за квалификационный разряд, за стаж работы, в том числе в местностях с особыми климатическими условиями;</w:t>
      </w:r>
    </w:p>
    <w:p w:rsidR="0061082A" w:rsidRPr="00431B39" w:rsidRDefault="0061082A" w:rsidP="00DD5136">
      <w:pPr>
        <w:spacing w:line="276" w:lineRule="auto"/>
        <w:ind w:right="6" w:firstLine="709"/>
        <w:jc w:val="both"/>
        <w:rPr>
          <w:sz w:val="27"/>
          <w:szCs w:val="27"/>
        </w:rPr>
      </w:pPr>
      <w:r w:rsidRPr="00431B39">
        <w:rPr>
          <w:sz w:val="27"/>
          <w:szCs w:val="27"/>
        </w:rPr>
        <w:t>оплата отпусков, в том числе компенсация за неиспользованный отпуск; начисления на выплаты по оплате труда: расходы по уплате страховых взносов</w:t>
      </w:r>
      <w:r w:rsidR="00DB6309" w:rsidRPr="00431B39">
        <w:rPr>
          <w:sz w:val="27"/>
          <w:szCs w:val="27"/>
        </w:rPr>
        <w:t xml:space="preserve"> </w:t>
      </w:r>
      <w:r w:rsidRPr="00431B39">
        <w:rPr>
          <w:sz w:val="27"/>
          <w:szCs w:val="27"/>
        </w:rPr>
        <w:t>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и другое;</w:t>
      </w:r>
    </w:p>
    <w:p w:rsidR="0061082A" w:rsidRPr="00431B39" w:rsidRDefault="0061082A" w:rsidP="00DD5136">
      <w:pPr>
        <w:spacing w:line="276" w:lineRule="auto"/>
        <w:ind w:right="6" w:firstLine="709"/>
        <w:jc w:val="both"/>
        <w:rPr>
          <w:sz w:val="27"/>
          <w:szCs w:val="27"/>
        </w:rPr>
      </w:pPr>
      <w:r w:rsidRPr="00431B39">
        <w:rPr>
          <w:sz w:val="27"/>
          <w:szCs w:val="27"/>
        </w:rPr>
        <w:t>иные выплаты: премии; удержания по исполнительным документам; возмещение персоналу дополнительных расходов, связанных</w:t>
      </w:r>
      <w:r w:rsidR="00DB6309" w:rsidRPr="00431B39">
        <w:rPr>
          <w:sz w:val="27"/>
          <w:szCs w:val="27"/>
        </w:rPr>
        <w:t xml:space="preserve"> </w:t>
      </w:r>
      <w:r w:rsidRPr="00431B39">
        <w:rPr>
          <w:sz w:val="27"/>
          <w:szCs w:val="27"/>
        </w:rPr>
        <w:t xml:space="preserve">с командировками и другие. </w:t>
      </w:r>
    </w:p>
    <w:p w:rsidR="0061082A" w:rsidRPr="00431B39" w:rsidRDefault="0061082A" w:rsidP="00DD5136">
      <w:pPr>
        <w:spacing w:line="276" w:lineRule="auto"/>
        <w:ind w:right="6" w:firstLine="709"/>
        <w:jc w:val="both"/>
        <w:rPr>
          <w:sz w:val="27"/>
          <w:szCs w:val="27"/>
        </w:rPr>
      </w:pPr>
      <w:r w:rsidRPr="00431B39">
        <w:rPr>
          <w:sz w:val="27"/>
          <w:szCs w:val="27"/>
        </w:rPr>
        <w:t>По строке 2003 «Оплата работ, услуг» учитываются: расходы на услуги связи, транспортные услуги, коммунальные услуги, арендная плата</w:t>
      </w:r>
      <w:r w:rsidR="00DB6309" w:rsidRPr="00431B39">
        <w:rPr>
          <w:sz w:val="27"/>
          <w:szCs w:val="27"/>
        </w:rPr>
        <w:t xml:space="preserve"> </w:t>
      </w:r>
      <w:r w:rsidRPr="00431B39">
        <w:rPr>
          <w:sz w:val="27"/>
          <w:szCs w:val="27"/>
        </w:rPr>
        <w:t>за пользование имуществом, работы и услуги по содержанию имущества (уборка территории, дезинфекция, прачечные услуги, текущий и капитальный ремонт</w:t>
      </w:r>
      <w:r w:rsidR="00DB6309" w:rsidRPr="00431B39">
        <w:rPr>
          <w:sz w:val="27"/>
          <w:szCs w:val="27"/>
        </w:rPr>
        <w:t xml:space="preserve"> </w:t>
      </w:r>
      <w:r w:rsidRPr="00431B39">
        <w:rPr>
          <w:sz w:val="27"/>
          <w:szCs w:val="27"/>
        </w:rPr>
        <w:t xml:space="preserve">и др.). </w:t>
      </w:r>
    </w:p>
    <w:p w:rsidR="0061082A" w:rsidRPr="00431B39" w:rsidRDefault="0061082A" w:rsidP="00DD5136">
      <w:pPr>
        <w:spacing w:line="276" w:lineRule="auto"/>
        <w:ind w:right="6" w:firstLine="709"/>
        <w:jc w:val="both"/>
        <w:rPr>
          <w:sz w:val="27"/>
          <w:szCs w:val="27"/>
        </w:rPr>
      </w:pPr>
      <w:r w:rsidRPr="00431B39">
        <w:rPr>
          <w:sz w:val="27"/>
          <w:szCs w:val="27"/>
        </w:rPr>
        <w:t>По строке 2004 «Социальное обеспечение» учитываются расходы, связанные с выплатами по временной нетрудоспособности, по беременности</w:t>
      </w:r>
      <w:r w:rsidR="00DB6309" w:rsidRPr="00431B39">
        <w:rPr>
          <w:sz w:val="27"/>
          <w:szCs w:val="27"/>
        </w:rPr>
        <w:t xml:space="preserve"> </w:t>
      </w:r>
      <w:r w:rsidRPr="00431B39">
        <w:rPr>
          <w:sz w:val="27"/>
          <w:szCs w:val="27"/>
        </w:rPr>
        <w:t>и родам; оплату медицинской помощи по обязательному медицинскому страхованию и другие аналогичны</w:t>
      </w:r>
      <w:bookmarkStart w:id="0" w:name="_GoBack"/>
      <w:bookmarkEnd w:id="0"/>
      <w:r w:rsidRPr="00431B39">
        <w:rPr>
          <w:sz w:val="27"/>
          <w:szCs w:val="27"/>
        </w:rPr>
        <w:t xml:space="preserve">е расходы. </w:t>
      </w:r>
    </w:p>
    <w:p w:rsidR="0061082A" w:rsidRPr="00431B39" w:rsidRDefault="0061082A" w:rsidP="00DD5136">
      <w:pPr>
        <w:spacing w:line="276" w:lineRule="auto"/>
        <w:ind w:right="6" w:firstLine="709"/>
        <w:jc w:val="both"/>
        <w:rPr>
          <w:sz w:val="27"/>
          <w:szCs w:val="27"/>
        </w:rPr>
      </w:pPr>
      <w:r w:rsidRPr="00431B39">
        <w:rPr>
          <w:sz w:val="27"/>
          <w:szCs w:val="27"/>
        </w:rPr>
        <w:t>По строке 2005 учитываются расходы, не учтенные в строках 2002-2004.</w:t>
      </w:r>
      <w:r w:rsidR="00DB6309" w:rsidRPr="00431B39">
        <w:rPr>
          <w:sz w:val="27"/>
          <w:szCs w:val="27"/>
        </w:rPr>
        <w:t xml:space="preserve"> </w:t>
      </w:r>
      <w:r w:rsidRPr="00431B39">
        <w:rPr>
          <w:sz w:val="27"/>
          <w:szCs w:val="27"/>
        </w:rPr>
        <w:t>К ним относятся расходы, связанные с амортизацией объектов основных средств, со списанием материальных запасов (израсходованных на нужды учреждения, естественной убыли, а также пришедших в негодность в результате</w:t>
      </w:r>
      <w:r w:rsidR="00DB6309" w:rsidRPr="00431B39">
        <w:rPr>
          <w:sz w:val="27"/>
          <w:szCs w:val="27"/>
        </w:rPr>
        <w:t xml:space="preserve"> </w:t>
      </w:r>
      <w:r w:rsidRPr="00431B39">
        <w:rPr>
          <w:sz w:val="27"/>
          <w:szCs w:val="27"/>
        </w:rPr>
        <w:t xml:space="preserve">их использования), расходы по уплате налога на добавленную стоимость и налога на прибыль (в части обязательств государственных (муниципальных) казенных учреждений), налога на имущество, земельного налога, в том числе в период строительства объекта, </w:t>
      </w:r>
      <w:r w:rsidRPr="00431B39">
        <w:rPr>
          <w:sz w:val="27"/>
          <w:szCs w:val="27"/>
        </w:rPr>
        <w:lastRenderedPageBreak/>
        <w:t xml:space="preserve">транспортного налога, платы за загрязнение окружающей среды, пошлин, штрафов, выплаты компенсаций за задержку выплат заработной платы и другие. </w:t>
      </w:r>
    </w:p>
    <w:p w:rsidR="0061082A" w:rsidRPr="00431B39" w:rsidRDefault="0061082A" w:rsidP="00DD5136">
      <w:pPr>
        <w:spacing w:line="276" w:lineRule="auto"/>
        <w:ind w:right="6" w:firstLine="709"/>
        <w:jc w:val="both"/>
        <w:rPr>
          <w:sz w:val="27"/>
          <w:szCs w:val="27"/>
        </w:rPr>
      </w:pPr>
      <w:r w:rsidRPr="00431B39">
        <w:rPr>
          <w:sz w:val="27"/>
          <w:szCs w:val="27"/>
        </w:rPr>
        <w:t>По строке 2006 «Поступление нефинансовых активов» отражаются сведения:</w:t>
      </w:r>
    </w:p>
    <w:p w:rsidR="0061082A" w:rsidRPr="00431B39" w:rsidRDefault="0061082A" w:rsidP="00DD5136">
      <w:pPr>
        <w:spacing w:line="276" w:lineRule="auto"/>
        <w:ind w:right="6" w:firstLine="709"/>
        <w:jc w:val="both"/>
        <w:rPr>
          <w:sz w:val="27"/>
          <w:szCs w:val="27"/>
        </w:rPr>
      </w:pPr>
      <w:proofErr w:type="gramStart"/>
      <w:r w:rsidRPr="00431B39">
        <w:rPr>
          <w:sz w:val="27"/>
          <w:szCs w:val="27"/>
        </w:rPr>
        <w:t>об</w:t>
      </w:r>
      <w:proofErr w:type="gramEnd"/>
      <w:r w:rsidRPr="00431B39">
        <w:rPr>
          <w:sz w:val="27"/>
          <w:szCs w:val="27"/>
        </w:rPr>
        <w:t xml:space="preserve"> увеличении стоимости основных средств – расходы по оплате договоров на строительство, приобретение (изготовление) объектов, относящихся</w:t>
      </w:r>
      <w:r w:rsidR="00DB6309" w:rsidRPr="00431B39">
        <w:rPr>
          <w:sz w:val="27"/>
          <w:szCs w:val="27"/>
        </w:rPr>
        <w:t xml:space="preserve"> </w:t>
      </w:r>
      <w:r w:rsidRPr="00431B39">
        <w:rPr>
          <w:sz w:val="27"/>
          <w:szCs w:val="27"/>
        </w:rPr>
        <w:t>к основным средствам, а также на реконструкцию, техническое оснащение, расширение, модернизацию (модернизацию с дооборудованием) основных средств;</w:t>
      </w:r>
    </w:p>
    <w:p w:rsidR="0061082A" w:rsidRPr="00431B39" w:rsidRDefault="0061082A" w:rsidP="00DD5136">
      <w:pPr>
        <w:spacing w:line="276" w:lineRule="auto"/>
        <w:ind w:right="6" w:firstLine="709"/>
        <w:jc w:val="both"/>
        <w:rPr>
          <w:sz w:val="27"/>
          <w:szCs w:val="27"/>
        </w:rPr>
      </w:pPr>
      <w:r w:rsidRPr="00431B39">
        <w:rPr>
          <w:sz w:val="27"/>
          <w:szCs w:val="27"/>
        </w:rPr>
        <w:t>об увеличение стоимости нематериальных активов – расходы по оплате договоров на приобретение (создание) исключительных прав на результаты интеллектуальной деятельности или средства индивидуализации (например,</w:t>
      </w:r>
      <w:r w:rsidR="00DB6309" w:rsidRPr="00431B39">
        <w:rPr>
          <w:sz w:val="27"/>
          <w:szCs w:val="27"/>
        </w:rPr>
        <w:t xml:space="preserve"> </w:t>
      </w:r>
      <w:r w:rsidRPr="00431B39">
        <w:rPr>
          <w:sz w:val="27"/>
          <w:szCs w:val="27"/>
        </w:rPr>
        <w:t>на программное обеспечение и базы данных для ЭВМ), а также расходы по оплате договоров на модернизацию данных нематериальных активов; об увеличении стоимости непроизведенных активов – расходы на увеличение стоимости непроизведенных активов, не являющихся продуктами производства (земля, ресурсы недр и прочее); об увеличении стоимости материальных запасов – расходы по оплате договоров на приобретение (изготовление) объектов, относящихся к материальным запасам (например, медикаментов и перевязочных средств, мягкого инвентаря, строительных материалов, посуды, продуктов питания).</w:t>
      </w:r>
    </w:p>
    <w:p w:rsidR="0061082A" w:rsidRPr="00431B39" w:rsidRDefault="0061082A" w:rsidP="0061082A">
      <w:pPr>
        <w:spacing w:line="276" w:lineRule="auto"/>
        <w:ind w:right="6" w:firstLine="709"/>
        <w:jc w:val="both"/>
        <w:rPr>
          <w:sz w:val="27"/>
          <w:szCs w:val="27"/>
        </w:rPr>
      </w:pPr>
    </w:p>
    <w:p w:rsidR="0061082A" w:rsidRPr="00431B39" w:rsidRDefault="0061082A" w:rsidP="00DD5136">
      <w:pPr>
        <w:spacing w:line="276" w:lineRule="auto"/>
        <w:ind w:right="6" w:firstLine="709"/>
        <w:jc w:val="center"/>
        <w:rPr>
          <w:b/>
          <w:sz w:val="27"/>
          <w:szCs w:val="27"/>
        </w:rPr>
      </w:pPr>
      <w:r w:rsidRPr="00431B39">
        <w:rPr>
          <w:b/>
          <w:sz w:val="27"/>
          <w:szCs w:val="27"/>
        </w:rPr>
        <w:t>При заполнении раздала 20 рекомендуем руководствоваться кодами классификации операций сектора государственного управления (далее - КОСГУ).</w:t>
      </w:r>
    </w:p>
    <w:p w:rsidR="00B84628" w:rsidRPr="00431B39" w:rsidRDefault="00B84628" w:rsidP="00DD5136">
      <w:pPr>
        <w:spacing w:line="276" w:lineRule="auto"/>
        <w:ind w:right="6" w:firstLine="709"/>
        <w:jc w:val="center"/>
        <w:rPr>
          <w:b/>
          <w:sz w:val="27"/>
          <w:szCs w:val="27"/>
        </w:rPr>
      </w:pP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195"/>
        <w:gridCol w:w="1134"/>
        <w:gridCol w:w="4069"/>
      </w:tblGrid>
      <w:tr w:rsidR="0061082A" w:rsidRPr="00431B39" w:rsidTr="00DB6309">
        <w:trPr>
          <w:cantSplit/>
          <w:trHeight w:val="519"/>
          <w:jc w:val="center"/>
        </w:trPr>
        <w:tc>
          <w:tcPr>
            <w:tcW w:w="5195" w:type="dxa"/>
            <w:vAlign w:val="center"/>
          </w:tcPr>
          <w:p w:rsidR="0061082A" w:rsidRPr="00431B39" w:rsidRDefault="0061082A" w:rsidP="00DD5136">
            <w:pPr>
              <w:spacing w:line="276" w:lineRule="auto"/>
              <w:ind w:firstLine="709"/>
              <w:jc w:val="center"/>
              <w:rPr>
                <w:sz w:val="27"/>
                <w:szCs w:val="27"/>
              </w:rPr>
            </w:pPr>
            <w:r w:rsidRPr="00431B39">
              <w:rPr>
                <w:sz w:val="27"/>
                <w:szCs w:val="27"/>
              </w:rPr>
              <w:t>Наименование показателей</w:t>
            </w:r>
          </w:p>
        </w:tc>
        <w:tc>
          <w:tcPr>
            <w:tcW w:w="1134" w:type="dxa"/>
            <w:vAlign w:val="center"/>
          </w:tcPr>
          <w:p w:rsidR="0061082A" w:rsidRPr="00431B39" w:rsidRDefault="0061082A" w:rsidP="00DD5136">
            <w:pPr>
              <w:spacing w:line="276" w:lineRule="auto"/>
              <w:jc w:val="center"/>
              <w:rPr>
                <w:sz w:val="27"/>
                <w:szCs w:val="27"/>
              </w:rPr>
            </w:pPr>
            <w:r w:rsidRPr="00431B39">
              <w:rPr>
                <w:sz w:val="27"/>
                <w:szCs w:val="27"/>
              </w:rPr>
              <w:t>№ строки</w:t>
            </w:r>
          </w:p>
        </w:tc>
        <w:tc>
          <w:tcPr>
            <w:tcW w:w="4069" w:type="dxa"/>
          </w:tcPr>
          <w:p w:rsidR="0061082A" w:rsidRPr="00431B39" w:rsidRDefault="0061082A" w:rsidP="00DD5136">
            <w:pPr>
              <w:spacing w:line="276" w:lineRule="auto"/>
              <w:ind w:firstLine="709"/>
              <w:jc w:val="center"/>
              <w:rPr>
                <w:sz w:val="27"/>
                <w:szCs w:val="27"/>
              </w:rPr>
            </w:pPr>
            <w:r w:rsidRPr="00431B39">
              <w:rPr>
                <w:sz w:val="27"/>
                <w:szCs w:val="27"/>
              </w:rPr>
              <w:t>Коды КОСГУ</w:t>
            </w:r>
          </w:p>
        </w:tc>
      </w:tr>
      <w:tr w:rsidR="0061082A" w:rsidRPr="00431B39" w:rsidTr="00DB6309">
        <w:trPr>
          <w:cantSplit/>
          <w:trHeight w:val="309"/>
          <w:jc w:val="center"/>
        </w:trPr>
        <w:tc>
          <w:tcPr>
            <w:tcW w:w="5195" w:type="dxa"/>
          </w:tcPr>
          <w:p w:rsidR="0061082A" w:rsidRPr="00431B39" w:rsidRDefault="0061082A" w:rsidP="00DD5136">
            <w:pPr>
              <w:spacing w:line="276" w:lineRule="auto"/>
              <w:ind w:firstLine="40"/>
              <w:jc w:val="both"/>
              <w:rPr>
                <w:sz w:val="27"/>
                <w:szCs w:val="27"/>
              </w:rPr>
            </w:pPr>
            <w:r w:rsidRPr="00431B39">
              <w:rPr>
                <w:sz w:val="27"/>
                <w:szCs w:val="27"/>
              </w:rPr>
              <w:t xml:space="preserve">Расходы (сумма строк 2002−2005) </w:t>
            </w:r>
            <w:r w:rsidRPr="00431B39">
              <w:rPr>
                <w:b/>
                <w:sz w:val="27"/>
                <w:szCs w:val="27"/>
              </w:rPr>
              <w:t>КОСГУ 200</w:t>
            </w:r>
          </w:p>
        </w:tc>
        <w:tc>
          <w:tcPr>
            <w:tcW w:w="1134" w:type="dxa"/>
            <w:vAlign w:val="bottom"/>
          </w:tcPr>
          <w:p w:rsidR="0061082A" w:rsidRPr="00431B39" w:rsidRDefault="0061082A" w:rsidP="00DD5136">
            <w:pPr>
              <w:spacing w:line="276" w:lineRule="auto"/>
              <w:ind w:firstLine="90"/>
              <w:jc w:val="center"/>
              <w:rPr>
                <w:sz w:val="27"/>
                <w:szCs w:val="27"/>
              </w:rPr>
            </w:pPr>
            <w:r w:rsidRPr="00431B39">
              <w:rPr>
                <w:sz w:val="27"/>
                <w:szCs w:val="27"/>
              </w:rPr>
              <w:t>2001</w:t>
            </w:r>
          </w:p>
        </w:tc>
        <w:tc>
          <w:tcPr>
            <w:tcW w:w="4069" w:type="dxa"/>
          </w:tcPr>
          <w:p w:rsidR="0061082A" w:rsidRPr="00431B39" w:rsidRDefault="0061082A" w:rsidP="00DD5136">
            <w:pPr>
              <w:spacing w:line="276" w:lineRule="auto"/>
              <w:jc w:val="center"/>
              <w:rPr>
                <w:b/>
                <w:sz w:val="27"/>
                <w:szCs w:val="27"/>
              </w:rPr>
            </w:pPr>
            <w:r w:rsidRPr="00431B39">
              <w:rPr>
                <w:b/>
                <w:sz w:val="27"/>
                <w:szCs w:val="27"/>
              </w:rPr>
              <w:t>КОСГУ 200= 210+220+260+290</w:t>
            </w:r>
          </w:p>
        </w:tc>
      </w:tr>
      <w:tr w:rsidR="0061082A" w:rsidRPr="00431B39" w:rsidTr="00DB6309">
        <w:trPr>
          <w:cantSplit/>
          <w:trHeight w:val="884"/>
          <w:jc w:val="center"/>
        </w:trPr>
        <w:tc>
          <w:tcPr>
            <w:tcW w:w="5195" w:type="dxa"/>
          </w:tcPr>
          <w:p w:rsidR="0061082A" w:rsidRPr="00431B39" w:rsidRDefault="0061082A" w:rsidP="00DD5136">
            <w:pPr>
              <w:spacing w:line="276" w:lineRule="auto"/>
              <w:ind w:firstLine="40"/>
              <w:rPr>
                <w:sz w:val="27"/>
                <w:szCs w:val="27"/>
              </w:rPr>
            </w:pPr>
            <w:r w:rsidRPr="00431B39">
              <w:rPr>
                <w:sz w:val="27"/>
                <w:szCs w:val="27"/>
              </w:rPr>
              <w:t>в том числе:</w:t>
            </w:r>
          </w:p>
          <w:p w:rsidR="0061082A" w:rsidRPr="00431B39" w:rsidRDefault="0061082A" w:rsidP="00DD5136">
            <w:pPr>
              <w:spacing w:line="276" w:lineRule="auto"/>
              <w:ind w:firstLine="40"/>
              <w:rPr>
                <w:sz w:val="27"/>
                <w:szCs w:val="27"/>
              </w:rPr>
            </w:pPr>
            <w:r w:rsidRPr="00431B39">
              <w:rPr>
                <w:sz w:val="27"/>
                <w:szCs w:val="27"/>
              </w:rPr>
              <w:t xml:space="preserve">оплата труда и начисления на выплаты по оплате труда </w:t>
            </w:r>
            <w:r w:rsidRPr="00431B39">
              <w:rPr>
                <w:b/>
                <w:sz w:val="27"/>
                <w:szCs w:val="27"/>
              </w:rPr>
              <w:t>КОСГУ 210</w:t>
            </w:r>
          </w:p>
        </w:tc>
        <w:tc>
          <w:tcPr>
            <w:tcW w:w="1134" w:type="dxa"/>
            <w:vAlign w:val="bottom"/>
          </w:tcPr>
          <w:p w:rsidR="0061082A" w:rsidRPr="00431B39" w:rsidRDefault="0061082A" w:rsidP="00DD5136">
            <w:pPr>
              <w:spacing w:line="276" w:lineRule="auto"/>
              <w:jc w:val="center"/>
              <w:rPr>
                <w:sz w:val="27"/>
                <w:szCs w:val="27"/>
              </w:rPr>
            </w:pPr>
            <w:r w:rsidRPr="00431B39">
              <w:rPr>
                <w:sz w:val="27"/>
                <w:szCs w:val="27"/>
              </w:rPr>
              <w:t>2002</w:t>
            </w:r>
          </w:p>
        </w:tc>
        <w:tc>
          <w:tcPr>
            <w:tcW w:w="4069" w:type="dxa"/>
            <w:vAlign w:val="center"/>
          </w:tcPr>
          <w:p w:rsidR="0061082A" w:rsidRPr="00431B39" w:rsidRDefault="0061082A" w:rsidP="00DD5136">
            <w:pPr>
              <w:spacing w:line="276" w:lineRule="auto"/>
              <w:jc w:val="center"/>
              <w:rPr>
                <w:b/>
                <w:sz w:val="27"/>
                <w:szCs w:val="27"/>
              </w:rPr>
            </w:pPr>
            <w:r w:rsidRPr="00431B39">
              <w:rPr>
                <w:b/>
                <w:sz w:val="27"/>
                <w:szCs w:val="27"/>
              </w:rPr>
              <w:t>КОСГУ 210= 211+212+213+214</w:t>
            </w:r>
          </w:p>
        </w:tc>
      </w:tr>
      <w:tr w:rsidR="0061082A" w:rsidRPr="00431B39" w:rsidTr="00DB6309">
        <w:trPr>
          <w:cantSplit/>
          <w:trHeight w:val="232"/>
          <w:jc w:val="center"/>
        </w:trPr>
        <w:tc>
          <w:tcPr>
            <w:tcW w:w="5195" w:type="dxa"/>
          </w:tcPr>
          <w:p w:rsidR="0061082A" w:rsidRPr="00431B39" w:rsidRDefault="0061082A" w:rsidP="00DD5136">
            <w:pPr>
              <w:spacing w:line="276" w:lineRule="auto"/>
              <w:rPr>
                <w:sz w:val="27"/>
                <w:szCs w:val="27"/>
              </w:rPr>
            </w:pPr>
            <w:r w:rsidRPr="00431B39">
              <w:rPr>
                <w:sz w:val="27"/>
                <w:szCs w:val="27"/>
              </w:rPr>
              <w:t>оплата работ, услуг</w:t>
            </w:r>
            <w:r w:rsidRPr="00431B39">
              <w:rPr>
                <w:b/>
                <w:color w:val="FF0000"/>
                <w:sz w:val="27"/>
                <w:szCs w:val="27"/>
              </w:rPr>
              <w:t xml:space="preserve"> </w:t>
            </w:r>
            <w:r w:rsidRPr="00431B39">
              <w:rPr>
                <w:b/>
                <w:sz w:val="27"/>
                <w:szCs w:val="27"/>
              </w:rPr>
              <w:t>КОСГУ 220</w:t>
            </w:r>
          </w:p>
        </w:tc>
        <w:tc>
          <w:tcPr>
            <w:tcW w:w="1134" w:type="dxa"/>
            <w:vAlign w:val="bottom"/>
          </w:tcPr>
          <w:p w:rsidR="0061082A" w:rsidRPr="00431B39" w:rsidRDefault="0061082A" w:rsidP="00DD5136">
            <w:pPr>
              <w:spacing w:line="276" w:lineRule="auto"/>
              <w:jc w:val="center"/>
              <w:rPr>
                <w:sz w:val="27"/>
                <w:szCs w:val="27"/>
              </w:rPr>
            </w:pPr>
            <w:r w:rsidRPr="00431B39">
              <w:rPr>
                <w:sz w:val="27"/>
                <w:szCs w:val="27"/>
              </w:rPr>
              <w:t>2003</w:t>
            </w:r>
          </w:p>
        </w:tc>
        <w:tc>
          <w:tcPr>
            <w:tcW w:w="4069" w:type="dxa"/>
            <w:vAlign w:val="center"/>
          </w:tcPr>
          <w:p w:rsidR="0061082A" w:rsidRPr="00431B39" w:rsidRDefault="0061082A" w:rsidP="00DD5136">
            <w:pPr>
              <w:spacing w:line="276" w:lineRule="auto"/>
              <w:jc w:val="center"/>
              <w:rPr>
                <w:b/>
                <w:sz w:val="27"/>
                <w:szCs w:val="27"/>
              </w:rPr>
            </w:pPr>
            <w:r w:rsidRPr="00431B39">
              <w:rPr>
                <w:b/>
                <w:sz w:val="27"/>
                <w:szCs w:val="27"/>
              </w:rPr>
              <w:t>КОСГУ 220= 221-229</w:t>
            </w:r>
          </w:p>
        </w:tc>
      </w:tr>
      <w:tr w:rsidR="0061082A" w:rsidRPr="00431B39" w:rsidTr="00DB6309">
        <w:trPr>
          <w:cantSplit/>
          <w:trHeight w:val="382"/>
          <w:jc w:val="center"/>
        </w:trPr>
        <w:tc>
          <w:tcPr>
            <w:tcW w:w="5195" w:type="dxa"/>
          </w:tcPr>
          <w:p w:rsidR="0061082A" w:rsidRPr="00431B39" w:rsidRDefault="0061082A" w:rsidP="00DD5136">
            <w:pPr>
              <w:tabs>
                <w:tab w:val="center" w:pos="4153"/>
                <w:tab w:val="right" w:pos="8306"/>
              </w:tabs>
              <w:spacing w:line="276" w:lineRule="auto"/>
              <w:rPr>
                <w:sz w:val="27"/>
                <w:szCs w:val="27"/>
              </w:rPr>
            </w:pPr>
            <w:r w:rsidRPr="00431B39">
              <w:rPr>
                <w:sz w:val="27"/>
                <w:szCs w:val="27"/>
              </w:rPr>
              <w:t>социальное обеспечение</w:t>
            </w:r>
            <w:r w:rsidRPr="00431B39">
              <w:rPr>
                <w:b/>
                <w:color w:val="FF0000"/>
                <w:sz w:val="27"/>
                <w:szCs w:val="27"/>
              </w:rPr>
              <w:t xml:space="preserve"> </w:t>
            </w:r>
            <w:r w:rsidRPr="00431B39">
              <w:rPr>
                <w:b/>
                <w:sz w:val="27"/>
                <w:szCs w:val="27"/>
              </w:rPr>
              <w:t>КОСГУ 260</w:t>
            </w:r>
          </w:p>
        </w:tc>
        <w:tc>
          <w:tcPr>
            <w:tcW w:w="1134" w:type="dxa"/>
            <w:vAlign w:val="bottom"/>
          </w:tcPr>
          <w:p w:rsidR="0061082A" w:rsidRPr="00431B39" w:rsidRDefault="0061082A" w:rsidP="00DD5136">
            <w:pPr>
              <w:spacing w:line="276" w:lineRule="auto"/>
              <w:jc w:val="center"/>
              <w:rPr>
                <w:sz w:val="27"/>
                <w:szCs w:val="27"/>
              </w:rPr>
            </w:pPr>
            <w:r w:rsidRPr="00431B39">
              <w:rPr>
                <w:sz w:val="27"/>
                <w:szCs w:val="27"/>
              </w:rPr>
              <w:t>2004</w:t>
            </w:r>
          </w:p>
        </w:tc>
        <w:tc>
          <w:tcPr>
            <w:tcW w:w="4069" w:type="dxa"/>
            <w:vAlign w:val="center"/>
          </w:tcPr>
          <w:p w:rsidR="0061082A" w:rsidRPr="00431B39" w:rsidRDefault="0061082A" w:rsidP="00DD5136">
            <w:pPr>
              <w:spacing w:line="276" w:lineRule="auto"/>
              <w:jc w:val="center"/>
              <w:rPr>
                <w:b/>
                <w:sz w:val="27"/>
                <w:szCs w:val="27"/>
              </w:rPr>
            </w:pPr>
            <w:r w:rsidRPr="00431B39">
              <w:rPr>
                <w:b/>
                <w:sz w:val="27"/>
                <w:szCs w:val="27"/>
              </w:rPr>
              <w:t>КОСГУ 260= 261-267</w:t>
            </w:r>
          </w:p>
        </w:tc>
      </w:tr>
      <w:tr w:rsidR="0061082A" w:rsidRPr="00431B39" w:rsidTr="00DB6309">
        <w:trPr>
          <w:cantSplit/>
          <w:trHeight w:val="271"/>
          <w:jc w:val="center"/>
        </w:trPr>
        <w:tc>
          <w:tcPr>
            <w:tcW w:w="5195" w:type="dxa"/>
          </w:tcPr>
          <w:p w:rsidR="0061082A" w:rsidRPr="00431B39" w:rsidRDefault="0061082A" w:rsidP="00DD5136">
            <w:pPr>
              <w:tabs>
                <w:tab w:val="center" w:pos="4153"/>
                <w:tab w:val="right" w:pos="8306"/>
              </w:tabs>
              <w:spacing w:line="276" w:lineRule="auto"/>
              <w:rPr>
                <w:sz w:val="27"/>
                <w:szCs w:val="27"/>
              </w:rPr>
            </w:pPr>
            <w:r w:rsidRPr="00431B39">
              <w:rPr>
                <w:sz w:val="27"/>
                <w:szCs w:val="27"/>
              </w:rPr>
              <w:t>прочие расходы</w:t>
            </w:r>
            <w:r w:rsidRPr="00431B39">
              <w:rPr>
                <w:b/>
                <w:color w:val="FF0000"/>
                <w:sz w:val="27"/>
                <w:szCs w:val="27"/>
              </w:rPr>
              <w:t xml:space="preserve"> </w:t>
            </w:r>
            <w:r w:rsidRPr="00431B39">
              <w:rPr>
                <w:b/>
                <w:sz w:val="27"/>
                <w:szCs w:val="27"/>
              </w:rPr>
              <w:t>КОСГУ 290</w:t>
            </w:r>
          </w:p>
        </w:tc>
        <w:tc>
          <w:tcPr>
            <w:tcW w:w="1134" w:type="dxa"/>
            <w:vAlign w:val="bottom"/>
          </w:tcPr>
          <w:p w:rsidR="0061082A" w:rsidRPr="00431B39" w:rsidRDefault="0061082A" w:rsidP="00DD5136">
            <w:pPr>
              <w:spacing w:line="276" w:lineRule="auto"/>
              <w:jc w:val="center"/>
              <w:rPr>
                <w:sz w:val="27"/>
                <w:szCs w:val="27"/>
              </w:rPr>
            </w:pPr>
            <w:r w:rsidRPr="00431B39">
              <w:rPr>
                <w:sz w:val="27"/>
                <w:szCs w:val="27"/>
              </w:rPr>
              <w:t>2005</w:t>
            </w:r>
          </w:p>
        </w:tc>
        <w:tc>
          <w:tcPr>
            <w:tcW w:w="4069" w:type="dxa"/>
            <w:vAlign w:val="center"/>
          </w:tcPr>
          <w:p w:rsidR="0061082A" w:rsidRPr="00431B39" w:rsidRDefault="0061082A" w:rsidP="00DD5136">
            <w:pPr>
              <w:spacing w:line="276" w:lineRule="auto"/>
              <w:jc w:val="center"/>
              <w:rPr>
                <w:b/>
                <w:sz w:val="27"/>
                <w:szCs w:val="27"/>
              </w:rPr>
            </w:pPr>
            <w:r w:rsidRPr="00431B39">
              <w:rPr>
                <w:b/>
                <w:sz w:val="27"/>
                <w:szCs w:val="27"/>
              </w:rPr>
              <w:t>КОСГУ 290=291-299</w:t>
            </w:r>
          </w:p>
        </w:tc>
      </w:tr>
      <w:tr w:rsidR="0061082A" w:rsidRPr="00431B39" w:rsidTr="00DB6309">
        <w:trPr>
          <w:cantSplit/>
          <w:trHeight w:val="708"/>
          <w:jc w:val="center"/>
        </w:trPr>
        <w:tc>
          <w:tcPr>
            <w:tcW w:w="5195" w:type="dxa"/>
            <w:vAlign w:val="center"/>
          </w:tcPr>
          <w:p w:rsidR="0061082A" w:rsidRPr="00431B39" w:rsidRDefault="0061082A" w:rsidP="00B84628">
            <w:pPr>
              <w:spacing w:line="276" w:lineRule="auto"/>
              <w:jc w:val="both"/>
              <w:rPr>
                <w:sz w:val="27"/>
                <w:szCs w:val="27"/>
              </w:rPr>
            </w:pPr>
            <w:r w:rsidRPr="00431B39">
              <w:rPr>
                <w:sz w:val="27"/>
                <w:szCs w:val="27"/>
              </w:rPr>
              <w:t xml:space="preserve"> Поступление нефинансовых активов</w:t>
            </w:r>
            <w:r w:rsidRPr="00431B39">
              <w:rPr>
                <w:b/>
                <w:color w:val="FF0000"/>
                <w:sz w:val="27"/>
                <w:szCs w:val="27"/>
              </w:rPr>
              <w:t xml:space="preserve"> </w:t>
            </w:r>
            <w:r w:rsidRPr="00431B39">
              <w:rPr>
                <w:b/>
                <w:color w:val="FF0000"/>
                <w:sz w:val="27"/>
                <w:szCs w:val="27"/>
              </w:rPr>
              <w:br w:type="textWrapping" w:clear="all"/>
            </w:r>
            <w:r w:rsidRPr="00431B39">
              <w:rPr>
                <w:b/>
                <w:sz w:val="27"/>
                <w:szCs w:val="27"/>
              </w:rPr>
              <w:t>КОСГУ 300</w:t>
            </w:r>
          </w:p>
        </w:tc>
        <w:tc>
          <w:tcPr>
            <w:tcW w:w="1134" w:type="dxa"/>
            <w:vAlign w:val="bottom"/>
          </w:tcPr>
          <w:p w:rsidR="0061082A" w:rsidRPr="00431B39" w:rsidRDefault="0061082A" w:rsidP="00DD5136">
            <w:pPr>
              <w:spacing w:line="276" w:lineRule="auto"/>
              <w:jc w:val="center"/>
              <w:rPr>
                <w:sz w:val="27"/>
                <w:szCs w:val="27"/>
              </w:rPr>
            </w:pPr>
            <w:r w:rsidRPr="00431B39">
              <w:rPr>
                <w:sz w:val="27"/>
                <w:szCs w:val="27"/>
              </w:rPr>
              <w:t>2006</w:t>
            </w:r>
          </w:p>
        </w:tc>
        <w:tc>
          <w:tcPr>
            <w:tcW w:w="4069" w:type="dxa"/>
            <w:vAlign w:val="center"/>
          </w:tcPr>
          <w:p w:rsidR="0061082A" w:rsidRPr="00431B39" w:rsidRDefault="0061082A" w:rsidP="00DD5136">
            <w:pPr>
              <w:spacing w:line="276" w:lineRule="auto"/>
              <w:jc w:val="center"/>
              <w:rPr>
                <w:b/>
                <w:sz w:val="27"/>
                <w:szCs w:val="27"/>
              </w:rPr>
            </w:pPr>
            <w:r w:rsidRPr="00431B39">
              <w:rPr>
                <w:b/>
                <w:sz w:val="27"/>
                <w:szCs w:val="27"/>
              </w:rPr>
              <w:t>КОСГУ300 = 310+320+330+340+350+360</w:t>
            </w:r>
          </w:p>
        </w:tc>
      </w:tr>
    </w:tbl>
    <w:p w:rsidR="0061082A" w:rsidRPr="00431B39" w:rsidRDefault="0061082A" w:rsidP="00DD5136">
      <w:pPr>
        <w:spacing w:line="276" w:lineRule="auto"/>
        <w:ind w:right="6"/>
        <w:rPr>
          <w:sz w:val="27"/>
          <w:szCs w:val="27"/>
        </w:rPr>
      </w:pPr>
    </w:p>
    <w:p w:rsidR="00431B39" w:rsidRPr="00431B39" w:rsidRDefault="00431B39">
      <w:pPr>
        <w:spacing w:line="276" w:lineRule="auto"/>
        <w:ind w:firstLine="709"/>
        <w:rPr>
          <w:sz w:val="27"/>
          <w:szCs w:val="27"/>
        </w:rPr>
      </w:pPr>
    </w:p>
    <w:sectPr w:rsidR="00431B39" w:rsidRPr="00431B39" w:rsidSect="004F4CB4">
      <w:headerReference w:type="default" r:id="rId7"/>
      <w:footerReference w:type="default" r:id="rId8"/>
      <w:headerReference w:type="first" r:id="rId9"/>
      <w:footerReference w:type="first" r:id="rId10"/>
      <w:pgSz w:w="11905" w:h="16840"/>
      <w:pgMar w:top="1134" w:right="567" w:bottom="851" w:left="1134" w:header="567" w:footer="2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401" w:rsidRDefault="00E36401" w:rsidP="00D5767A">
      <w:r>
        <w:separator/>
      </w:r>
    </w:p>
  </w:endnote>
  <w:endnote w:type="continuationSeparator" w:id="0">
    <w:p w:rsidR="00E36401" w:rsidRDefault="00E36401" w:rsidP="00D5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E0F" w:rsidRDefault="004F4CB4">
    <w:pPr>
      <w:pStyle w:val="ad"/>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E0F" w:rsidRDefault="004F4CB4">
    <w:pPr>
      <w:pStyle w:val="ad"/>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401" w:rsidRDefault="00E36401" w:rsidP="00D5767A">
      <w:r>
        <w:separator/>
      </w:r>
    </w:p>
  </w:footnote>
  <w:footnote w:type="continuationSeparator" w:id="0">
    <w:p w:rsidR="00E36401" w:rsidRDefault="00E36401" w:rsidP="00D57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F1C" w:rsidRPr="00372F1C" w:rsidRDefault="00372F1C" w:rsidP="00372F1C">
    <w:pPr>
      <w:pStyle w:val="ab"/>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02888"/>
      <w:docPartObj>
        <w:docPartGallery w:val="Page Numbers (Top of Page)"/>
        <w:docPartUnique/>
      </w:docPartObj>
    </w:sdtPr>
    <w:sdtEndPr/>
    <w:sdtContent>
      <w:p w:rsidR="00372F1C" w:rsidRDefault="00372F1C">
        <w:pPr>
          <w:pStyle w:val="ab"/>
          <w:jc w:val="center"/>
        </w:pPr>
        <w:r>
          <w:fldChar w:fldCharType="begin"/>
        </w:r>
        <w:r>
          <w:instrText>PAGE   \* MERGEFORMAT</w:instrText>
        </w:r>
        <w:r>
          <w:fldChar w:fldCharType="separate"/>
        </w:r>
        <w:r w:rsidRPr="00372F1C">
          <w:rPr>
            <w:noProof/>
            <w:lang w:val="ru-RU"/>
          </w:rPr>
          <w:t>1</w:t>
        </w:r>
        <w:r>
          <w:fldChar w:fldCharType="end"/>
        </w:r>
      </w:p>
    </w:sdtContent>
  </w:sdt>
  <w:p w:rsidR="00372F1C" w:rsidRDefault="00372F1C">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CA2AD96"/>
    <w:lvl w:ilvl="0">
      <w:start w:val="1"/>
      <w:numFmt w:val="decimal"/>
      <w:pStyle w:val="a"/>
      <w:lvlText w:val="%1."/>
      <w:lvlJc w:val="left"/>
      <w:pPr>
        <w:tabs>
          <w:tab w:val="num" w:pos="360"/>
        </w:tabs>
        <w:ind w:left="360" w:hanging="360"/>
      </w:pPr>
    </w:lvl>
  </w:abstractNum>
  <w:abstractNum w:abstractNumId="1">
    <w:nsid w:val="FFFFFF89"/>
    <w:multiLevelType w:val="singleLevel"/>
    <w:tmpl w:val="C3D66FF6"/>
    <w:lvl w:ilvl="0">
      <w:start w:val="1"/>
      <w:numFmt w:val="bullet"/>
      <w:pStyle w:val="a0"/>
      <w:lvlText w:val=""/>
      <w:lvlJc w:val="left"/>
      <w:pPr>
        <w:tabs>
          <w:tab w:val="num" w:pos="360"/>
        </w:tabs>
        <w:ind w:left="360" w:hanging="360"/>
      </w:pPr>
      <w:rPr>
        <w:rFonts w:ascii="Symbol" w:hAnsi="Symbol" w:hint="default"/>
      </w:rPr>
    </w:lvl>
  </w:abstractNum>
  <w:abstractNum w:abstractNumId="2">
    <w:nsid w:val="019E356C"/>
    <w:multiLevelType w:val="hybridMultilevel"/>
    <w:tmpl w:val="1FE4F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E6D4B"/>
    <w:multiLevelType w:val="hybridMultilevel"/>
    <w:tmpl w:val="B7502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308A4"/>
    <w:multiLevelType w:val="hybridMultilevel"/>
    <w:tmpl w:val="380A5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3B31F2"/>
    <w:multiLevelType w:val="hybridMultilevel"/>
    <w:tmpl w:val="BEF0A3A2"/>
    <w:lvl w:ilvl="0" w:tplc="2A0A1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371877"/>
    <w:multiLevelType w:val="hybridMultilevel"/>
    <w:tmpl w:val="562E763E"/>
    <w:lvl w:ilvl="0" w:tplc="BD947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3B6385"/>
    <w:multiLevelType w:val="hybridMultilevel"/>
    <w:tmpl w:val="39144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10128B"/>
    <w:multiLevelType w:val="hybridMultilevel"/>
    <w:tmpl w:val="BF20E87C"/>
    <w:lvl w:ilvl="0" w:tplc="96A846A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CD016F"/>
    <w:multiLevelType w:val="hybridMultilevel"/>
    <w:tmpl w:val="99745EDA"/>
    <w:lvl w:ilvl="0" w:tplc="C3648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00123F"/>
    <w:multiLevelType w:val="hybridMultilevel"/>
    <w:tmpl w:val="34D6598E"/>
    <w:lvl w:ilvl="0" w:tplc="340C3C9A">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11">
    <w:nsid w:val="5CA8694A"/>
    <w:multiLevelType w:val="hybridMultilevel"/>
    <w:tmpl w:val="83CA6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F06CBD"/>
    <w:multiLevelType w:val="hybridMultilevel"/>
    <w:tmpl w:val="50E26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B40CBE"/>
    <w:multiLevelType w:val="hybridMultilevel"/>
    <w:tmpl w:val="E47CEC82"/>
    <w:lvl w:ilvl="0" w:tplc="2AD6B4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C88736E"/>
    <w:multiLevelType w:val="hybridMultilevel"/>
    <w:tmpl w:val="211699A6"/>
    <w:lvl w:ilvl="0" w:tplc="11F68E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22655F"/>
    <w:multiLevelType w:val="hybridMultilevel"/>
    <w:tmpl w:val="38FC90A6"/>
    <w:lvl w:ilvl="0" w:tplc="0419000F">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E85101"/>
    <w:multiLevelType w:val="hybridMultilevel"/>
    <w:tmpl w:val="24EE48B0"/>
    <w:lvl w:ilvl="0" w:tplc="A906C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917AAD"/>
    <w:multiLevelType w:val="hybridMultilevel"/>
    <w:tmpl w:val="141CE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7"/>
  </w:num>
  <w:num w:numId="3">
    <w:abstractNumId w:val="8"/>
  </w:num>
  <w:num w:numId="4">
    <w:abstractNumId w:val="14"/>
  </w:num>
  <w:num w:numId="5">
    <w:abstractNumId w:val="1"/>
  </w:num>
  <w:num w:numId="6">
    <w:abstractNumId w:val="16"/>
  </w:num>
  <w:num w:numId="7">
    <w:abstractNumId w:val="12"/>
  </w:num>
  <w:num w:numId="8">
    <w:abstractNumId w:val="2"/>
  </w:num>
  <w:num w:numId="9">
    <w:abstractNumId w:val="4"/>
  </w:num>
  <w:num w:numId="10">
    <w:abstractNumId w:val="3"/>
  </w:num>
  <w:num w:numId="11">
    <w:abstractNumId w:val="6"/>
  </w:num>
  <w:num w:numId="12">
    <w:abstractNumId w:val="9"/>
  </w:num>
  <w:num w:numId="13">
    <w:abstractNumId w:val="11"/>
  </w:num>
  <w:num w:numId="14">
    <w:abstractNumId w:val="7"/>
  </w:num>
  <w:num w:numId="15">
    <w:abstractNumId w:val="10"/>
  </w:num>
  <w:num w:numId="16">
    <w:abstractNumId w:val="15"/>
  </w:num>
  <w:num w:numId="17">
    <w:abstractNumId w:val="0"/>
  </w:num>
  <w:num w:numId="18">
    <w:abstractNumId w:val="0"/>
    <w:lvlOverride w:ilvl="0">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F8"/>
    <w:rsid w:val="00050781"/>
    <w:rsid w:val="00053FF5"/>
    <w:rsid w:val="00074D7A"/>
    <w:rsid w:val="0007553D"/>
    <w:rsid w:val="00087280"/>
    <w:rsid w:val="000A2FC2"/>
    <w:rsid w:val="000A6A0A"/>
    <w:rsid w:val="000E7FF1"/>
    <w:rsid w:val="000F5AD7"/>
    <w:rsid w:val="001239DE"/>
    <w:rsid w:val="00130D39"/>
    <w:rsid w:val="00140077"/>
    <w:rsid w:val="00143F64"/>
    <w:rsid w:val="00153487"/>
    <w:rsid w:val="001D68D2"/>
    <w:rsid w:val="001F08FD"/>
    <w:rsid w:val="002A1F35"/>
    <w:rsid w:val="002E3A48"/>
    <w:rsid w:val="002E3CDA"/>
    <w:rsid w:val="002E4009"/>
    <w:rsid w:val="0032626F"/>
    <w:rsid w:val="0034574A"/>
    <w:rsid w:val="00372F1C"/>
    <w:rsid w:val="003A46A7"/>
    <w:rsid w:val="003D3B4F"/>
    <w:rsid w:val="003E3FA5"/>
    <w:rsid w:val="003F0043"/>
    <w:rsid w:val="003F18D7"/>
    <w:rsid w:val="00404CB1"/>
    <w:rsid w:val="00431B39"/>
    <w:rsid w:val="00444DDB"/>
    <w:rsid w:val="00461045"/>
    <w:rsid w:val="00484FFA"/>
    <w:rsid w:val="00493F1A"/>
    <w:rsid w:val="004B656A"/>
    <w:rsid w:val="004F4CB4"/>
    <w:rsid w:val="00555976"/>
    <w:rsid w:val="00566530"/>
    <w:rsid w:val="0058335F"/>
    <w:rsid w:val="005841BB"/>
    <w:rsid w:val="0061082A"/>
    <w:rsid w:val="00644E93"/>
    <w:rsid w:val="00661D57"/>
    <w:rsid w:val="00687159"/>
    <w:rsid w:val="006A182C"/>
    <w:rsid w:val="006D4D3B"/>
    <w:rsid w:val="006E7DD5"/>
    <w:rsid w:val="00735629"/>
    <w:rsid w:val="00745FAE"/>
    <w:rsid w:val="007A17C4"/>
    <w:rsid w:val="007B5A68"/>
    <w:rsid w:val="007C2912"/>
    <w:rsid w:val="007F0FC6"/>
    <w:rsid w:val="00823118"/>
    <w:rsid w:val="00863796"/>
    <w:rsid w:val="0087690D"/>
    <w:rsid w:val="0089482E"/>
    <w:rsid w:val="008B333B"/>
    <w:rsid w:val="008D03DB"/>
    <w:rsid w:val="008E10B7"/>
    <w:rsid w:val="0092744A"/>
    <w:rsid w:val="00937777"/>
    <w:rsid w:val="00981103"/>
    <w:rsid w:val="009C7F88"/>
    <w:rsid w:val="009D10D9"/>
    <w:rsid w:val="009E2740"/>
    <w:rsid w:val="009E4A2D"/>
    <w:rsid w:val="00A06680"/>
    <w:rsid w:val="00A10F25"/>
    <w:rsid w:val="00A11196"/>
    <w:rsid w:val="00A374DE"/>
    <w:rsid w:val="00A5391E"/>
    <w:rsid w:val="00A81B6F"/>
    <w:rsid w:val="00A948DB"/>
    <w:rsid w:val="00AB28FA"/>
    <w:rsid w:val="00AD594D"/>
    <w:rsid w:val="00AF1976"/>
    <w:rsid w:val="00B0748A"/>
    <w:rsid w:val="00B2068C"/>
    <w:rsid w:val="00B84628"/>
    <w:rsid w:val="00BC2AF8"/>
    <w:rsid w:val="00BD65FF"/>
    <w:rsid w:val="00C13463"/>
    <w:rsid w:val="00C34A7A"/>
    <w:rsid w:val="00C50247"/>
    <w:rsid w:val="00C74C15"/>
    <w:rsid w:val="00C92A61"/>
    <w:rsid w:val="00CB65DB"/>
    <w:rsid w:val="00CF33AD"/>
    <w:rsid w:val="00D055E9"/>
    <w:rsid w:val="00D5767A"/>
    <w:rsid w:val="00D7200D"/>
    <w:rsid w:val="00DB6309"/>
    <w:rsid w:val="00DD5136"/>
    <w:rsid w:val="00DE4F88"/>
    <w:rsid w:val="00DF1442"/>
    <w:rsid w:val="00DF71E9"/>
    <w:rsid w:val="00E0585E"/>
    <w:rsid w:val="00E36401"/>
    <w:rsid w:val="00E44B86"/>
    <w:rsid w:val="00E44BD1"/>
    <w:rsid w:val="00E93551"/>
    <w:rsid w:val="00EA4693"/>
    <w:rsid w:val="00F85F4B"/>
    <w:rsid w:val="00FD2BF2"/>
    <w:rsid w:val="00FD4B1D"/>
    <w:rsid w:val="00FF0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1FAAE0-9F71-489A-95AC-DFB62D87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A6A0A"/>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F1 Знак,ft Знак"/>
    <w:link w:val="a6"/>
    <w:uiPriority w:val="99"/>
    <w:locked/>
    <w:rsid w:val="000A6A0A"/>
    <w:rPr>
      <w:szCs w:val="24"/>
      <w:lang w:val="x-none" w:eastAsia="x-none"/>
    </w:rPr>
  </w:style>
  <w:style w:type="paragraph" w:styleId="a6">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ft"/>
    <w:basedOn w:val="a1"/>
    <w:link w:val="a5"/>
    <w:uiPriority w:val="99"/>
    <w:unhideWhenUsed/>
    <w:rsid w:val="000A6A0A"/>
    <w:rPr>
      <w:rFonts w:asciiTheme="minorHAnsi" w:eastAsiaTheme="minorHAnsi" w:hAnsiTheme="minorHAnsi" w:cstheme="minorBidi"/>
      <w:sz w:val="22"/>
      <w:lang w:val="x-none" w:eastAsia="x-none"/>
    </w:rPr>
  </w:style>
  <w:style w:type="character" w:customStyle="1" w:styleId="1">
    <w:name w:val="Текст сноски Знак1"/>
    <w:basedOn w:val="a2"/>
    <w:uiPriority w:val="99"/>
    <w:semiHidden/>
    <w:rsid w:val="000A6A0A"/>
    <w:rPr>
      <w:rFonts w:ascii="Times New Roman" w:eastAsia="Times New Roman" w:hAnsi="Times New Roman" w:cs="Times New Roman"/>
      <w:sz w:val="20"/>
      <w:szCs w:val="20"/>
      <w:lang w:eastAsia="ru-RU"/>
    </w:rPr>
  </w:style>
  <w:style w:type="character" w:styleId="a7">
    <w:name w:val="footnote reference"/>
    <w:aliases w:val="Знак сноски-FN,fr,Used by Word for Help footnote symbols,Ciae niinee-FN,Знак сноски 1,Ссылка на сноску 45,Footnote Reference Number,Referencia nota al pie,Ciae niinee 1,SUPERS,Appel note de bas de page,ОР,Footnotes refss,Fussnota"/>
    <w:semiHidden/>
    <w:unhideWhenUsed/>
    <w:rsid w:val="000A6A0A"/>
    <w:rPr>
      <w:vertAlign w:val="superscript"/>
    </w:rPr>
  </w:style>
  <w:style w:type="paragraph" w:styleId="a8">
    <w:name w:val="List Paragraph"/>
    <w:basedOn w:val="a1"/>
    <w:uiPriority w:val="34"/>
    <w:qFormat/>
    <w:rsid w:val="000A6A0A"/>
    <w:pPr>
      <w:ind w:left="720"/>
      <w:contextualSpacing/>
    </w:pPr>
  </w:style>
  <w:style w:type="paragraph" w:styleId="a0">
    <w:name w:val="List Bullet"/>
    <w:basedOn w:val="a1"/>
    <w:autoRedefine/>
    <w:uiPriority w:val="99"/>
    <w:semiHidden/>
    <w:rsid w:val="00DE4F88"/>
    <w:pPr>
      <w:numPr>
        <w:numId w:val="5"/>
      </w:numPr>
    </w:pPr>
    <w:rPr>
      <w:szCs w:val="20"/>
    </w:rPr>
  </w:style>
  <w:style w:type="paragraph" w:styleId="a">
    <w:name w:val="List Number"/>
    <w:basedOn w:val="a1"/>
    <w:uiPriority w:val="99"/>
    <w:semiHidden/>
    <w:rsid w:val="00A374DE"/>
    <w:pPr>
      <w:numPr>
        <w:numId w:val="17"/>
      </w:numPr>
    </w:pPr>
    <w:rPr>
      <w:szCs w:val="20"/>
    </w:rPr>
  </w:style>
  <w:style w:type="paragraph" w:customStyle="1" w:styleId="10">
    <w:name w:val="Обычный1"/>
    <w:rsid w:val="00140077"/>
    <w:pPr>
      <w:spacing w:after="0" w:line="240" w:lineRule="auto"/>
    </w:pPr>
    <w:rPr>
      <w:rFonts w:ascii="Arial" w:eastAsia="Times New Roman" w:hAnsi="Arial" w:cs="Times New Roman"/>
      <w:sz w:val="20"/>
      <w:szCs w:val="20"/>
      <w:lang w:eastAsia="ru-RU"/>
    </w:rPr>
  </w:style>
  <w:style w:type="paragraph" w:styleId="a9">
    <w:name w:val="Plain Text"/>
    <w:basedOn w:val="a1"/>
    <w:link w:val="aa"/>
    <w:rsid w:val="00CB65DB"/>
    <w:rPr>
      <w:rFonts w:ascii="Courier New" w:hAnsi="Courier New"/>
      <w:sz w:val="20"/>
      <w:szCs w:val="20"/>
      <w:lang w:val="x-none" w:eastAsia="x-none"/>
    </w:rPr>
  </w:style>
  <w:style w:type="character" w:customStyle="1" w:styleId="aa">
    <w:name w:val="Текст Знак"/>
    <w:basedOn w:val="a2"/>
    <w:link w:val="a9"/>
    <w:rsid w:val="00CB65DB"/>
    <w:rPr>
      <w:rFonts w:ascii="Courier New" w:eastAsia="Times New Roman" w:hAnsi="Courier New" w:cs="Times New Roman"/>
      <w:sz w:val="20"/>
      <w:szCs w:val="20"/>
      <w:lang w:val="x-none" w:eastAsia="x-none"/>
    </w:rPr>
  </w:style>
  <w:style w:type="paragraph" w:styleId="2">
    <w:name w:val="Body Text 2"/>
    <w:basedOn w:val="a1"/>
    <w:link w:val="20"/>
    <w:uiPriority w:val="99"/>
    <w:unhideWhenUsed/>
    <w:rsid w:val="00CB65DB"/>
    <w:pPr>
      <w:spacing w:after="120" w:line="480" w:lineRule="auto"/>
    </w:pPr>
    <w:rPr>
      <w:sz w:val="20"/>
      <w:szCs w:val="20"/>
    </w:rPr>
  </w:style>
  <w:style w:type="character" w:customStyle="1" w:styleId="20">
    <w:name w:val="Основной текст 2 Знак"/>
    <w:basedOn w:val="a2"/>
    <w:link w:val="2"/>
    <w:uiPriority w:val="99"/>
    <w:rsid w:val="00CB65DB"/>
    <w:rPr>
      <w:rFonts w:ascii="Times New Roman" w:eastAsia="Times New Roman" w:hAnsi="Times New Roman" w:cs="Times New Roman"/>
      <w:sz w:val="20"/>
      <w:szCs w:val="20"/>
      <w:lang w:eastAsia="ru-RU"/>
    </w:rPr>
  </w:style>
  <w:style w:type="paragraph" w:customStyle="1" w:styleId="singlespacefootnotetext111111F1ft">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ft"/>
    <w:basedOn w:val="a1"/>
    <w:link w:val="singlespace1footnotetext11111111111"/>
    <w:rsid w:val="00D5767A"/>
    <w:rPr>
      <w:sz w:val="20"/>
      <w:lang w:val="en-US" w:eastAsia="en-US"/>
    </w:rPr>
  </w:style>
  <w:style w:type="character" w:customStyle="1" w:styleId="singlespace1footnotetext11111111111">
    <w:name w:val="Текст сноски Знак;single space Знак1;footnote text Знак Знак1;Текст сноски Знак1 Знак;Знак1 Знак1 Знак;Текст сноски Знак Знак1 Знак1;Текст сноски Знак Знак Знак1 Знак1;Текст сноски Знак Знак Знак Знак Знак1;Текст сноски Знак1 Знак Знак Знак Знак Знак1"/>
    <w:link w:val="singlespacefootnotetext111111F1ft"/>
    <w:rsid w:val="00D5767A"/>
    <w:rPr>
      <w:rFonts w:ascii="Times New Roman" w:eastAsia="Times New Roman" w:hAnsi="Times New Roman" w:cs="Times New Roman"/>
      <w:sz w:val="20"/>
      <w:szCs w:val="24"/>
      <w:lang w:val="en-US"/>
    </w:rPr>
  </w:style>
  <w:style w:type="character" w:customStyle="1" w:styleId="-FNfrUsedbyWordforHelpfootnotesymbolsCiaeniinee-FN145FootnoteReferenceNumberReferencianotaalpieCiaeniinee1SUPERSAppelnotedebasdepageFootnotesrefssFussnota">
    <w:name w:val="Знак сноски;Знак сноски-FN;fr;Used by Word for Help footnote symbols;Ciae niinee-FN;Знак сноски 1;Ссылка на сноску 45;Footnote Reference Number;Referencia nota al pie;Ciae niinee 1;SUPERS;Appel note de bas de page;ОР;Footnotes refss;Fussnota"/>
    <w:semiHidden/>
    <w:rsid w:val="00D5767A"/>
    <w:rPr>
      <w:vertAlign w:val="superscript"/>
    </w:rPr>
  </w:style>
  <w:style w:type="paragraph" w:styleId="ab">
    <w:name w:val="header"/>
    <w:basedOn w:val="a1"/>
    <w:link w:val="ac"/>
    <w:uiPriority w:val="99"/>
    <w:unhideWhenUsed/>
    <w:rsid w:val="0061082A"/>
    <w:pPr>
      <w:tabs>
        <w:tab w:val="center" w:pos="4677"/>
        <w:tab w:val="right" w:pos="9355"/>
      </w:tabs>
      <w:spacing w:after="299" w:line="383" w:lineRule="auto"/>
      <w:ind w:right="4" w:firstLine="701"/>
      <w:jc w:val="both"/>
    </w:pPr>
    <w:rPr>
      <w:color w:val="000000"/>
      <w:sz w:val="28"/>
      <w:szCs w:val="22"/>
      <w:lang w:val="en-US" w:eastAsia="en-US"/>
    </w:rPr>
  </w:style>
  <w:style w:type="character" w:customStyle="1" w:styleId="ac">
    <w:name w:val="Верхний колонтитул Знак"/>
    <w:basedOn w:val="a2"/>
    <w:link w:val="ab"/>
    <w:uiPriority w:val="99"/>
    <w:rsid w:val="0061082A"/>
    <w:rPr>
      <w:rFonts w:ascii="Times New Roman" w:eastAsia="Times New Roman" w:hAnsi="Times New Roman" w:cs="Times New Roman"/>
      <w:color w:val="000000"/>
      <w:sz w:val="28"/>
      <w:lang w:val="en-US"/>
    </w:rPr>
  </w:style>
  <w:style w:type="paragraph" w:styleId="ad">
    <w:name w:val="footer"/>
    <w:basedOn w:val="a1"/>
    <w:link w:val="ae"/>
    <w:uiPriority w:val="99"/>
    <w:unhideWhenUsed/>
    <w:rsid w:val="0061082A"/>
    <w:pPr>
      <w:tabs>
        <w:tab w:val="center" w:pos="4677"/>
        <w:tab w:val="right" w:pos="9355"/>
      </w:tabs>
      <w:spacing w:after="299" w:line="383" w:lineRule="auto"/>
      <w:ind w:right="4" w:firstLine="701"/>
      <w:jc w:val="both"/>
    </w:pPr>
    <w:rPr>
      <w:color w:val="000000"/>
      <w:sz w:val="28"/>
      <w:szCs w:val="22"/>
      <w:lang w:val="en-US" w:eastAsia="en-US"/>
    </w:rPr>
  </w:style>
  <w:style w:type="character" w:customStyle="1" w:styleId="ae">
    <w:name w:val="Нижний колонтитул Знак"/>
    <w:basedOn w:val="a2"/>
    <w:link w:val="ad"/>
    <w:uiPriority w:val="99"/>
    <w:rsid w:val="0061082A"/>
    <w:rPr>
      <w:rFonts w:ascii="Times New Roman" w:eastAsia="Times New Roman" w:hAnsi="Times New Roman" w:cs="Times New Roman"/>
      <w:color w:val="000000"/>
      <w:sz w:val="28"/>
      <w:lang w:val="en-US"/>
    </w:rPr>
  </w:style>
  <w:style w:type="paragraph" w:styleId="af">
    <w:name w:val="Balloon Text"/>
    <w:basedOn w:val="a1"/>
    <w:link w:val="af0"/>
    <w:uiPriority w:val="99"/>
    <w:semiHidden/>
    <w:unhideWhenUsed/>
    <w:rsid w:val="00AF1976"/>
    <w:rPr>
      <w:rFonts w:ascii="Tahoma" w:hAnsi="Tahoma" w:cs="Tahoma"/>
      <w:sz w:val="16"/>
      <w:szCs w:val="16"/>
    </w:rPr>
  </w:style>
  <w:style w:type="character" w:customStyle="1" w:styleId="af0">
    <w:name w:val="Текст выноски Знак"/>
    <w:basedOn w:val="a2"/>
    <w:link w:val="af"/>
    <w:uiPriority w:val="99"/>
    <w:semiHidden/>
    <w:rsid w:val="00AF19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1067</Words>
  <Characters>6085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Ратушинская Валерия Сергеевна</dc:creator>
  <cp:lastModifiedBy>Гурьева Ольга Николаевна</cp:lastModifiedBy>
  <cp:revision>11</cp:revision>
  <cp:lastPrinted>2023-12-26T07:52:00Z</cp:lastPrinted>
  <dcterms:created xsi:type="dcterms:W3CDTF">2023-12-26T07:59:00Z</dcterms:created>
  <dcterms:modified xsi:type="dcterms:W3CDTF">2023-12-27T07:31:00Z</dcterms:modified>
</cp:coreProperties>
</file>